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446413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Silvano Carone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936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tbl>
            <w:tblPr>
              <w:tblW w:w="107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7921"/>
            </w:tblGrid>
            <w:tr w:rsid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Date (da – a)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APRILE 2018 </w:t>
                  </w:r>
                </w:p>
              </w:tc>
            </w:tr>
            <w:tr w:rsid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Nome e tipo di istituto di istruzione o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Università di Roma – La Sapienza </w:t>
                  </w:r>
                </w:p>
              </w:tc>
            </w:tr>
            <w:tr w:rsidR="00446413" w:rsidTr="00446413">
              <w:trPr>
                <w:trHeight w:val="75"/>
              </w:trPr>
              <w:tc>
                <w:tcPr>
                  <w:tcW w:w="0" w:type="auto"/>
                  <w:gridSpan w:val="2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formazione </w:t>
                  </w:r>
                </w:p>
              </w:tc>
            </w:tr>
            <w:tr w:rsidR="00446413" w:rsidTr="00446413">
              <w:trPr>
                <w:trHeight w:val="260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Corso di formazione per la sicurezza del lavoro ai sensi dell’art. 32 del D.Lgs. 81/08 e s.m.i. e Accordo Stato Regioni del 07/07/16. Responsabile del servizio di prevenzione e protezione corso di specializzazione – MODULO C. </w:t>
                  </w:r>
                </w:p>
              </w:tc>
            </w:tr>
            <w:tr w:rsid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Corso di formazione professionale </w:t>
                  </w:r>
                </w:p>
              </w:tc>
            </w:tr>
            <w:tr w:rsidR="00446413" w:rsidTr="00446413">
              <w:trPr>
                <w:trHeight w:val="188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/ </w:t>
                  </w:r>
                </w:p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GIUGNO 2017 </w:t>
                  </w:r>
                </w:p>
              </w:tc>
            </w:tr>
            <w:tr w:rsid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Unione Professionisti </w:t>
                  </w:r>
                </w:p>
              </w:tc>
            </w:tr>
            <w:tr w:rsid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Corso “Partecipare alle Gare d’Appalto aggiornato al D.Lgs. 18/04/2016” </w:t>
                  </w:r>
                </w:p>
              </w:tc>
            </w:tr>
            <w:tr w:rsid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Corso di aggiornamento professionale </w:t>
                  </w:r>
                </w:p>
              </w:tc>
            </w:tr>
            <w:tr w:rsidR="00446413" w:rsidTr="00446413">
              <w:trPr>
                <w:trHeight w:val="187"/>
              </w:trPr>
              <w:tc>
                <w:tcPr>
                  <w:tcW w:w="0" w:type="auto"/>
                </w:tcPr>
                <w:p w:rsidR="00446413" w:rsidRPr="00582F4F" w:rsidRDefault="00446413" w:rsidP="0044641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582F4F">
                    <w:rPr>
                      <w:b/>
                      <w:sz w:val="16"/>
                      <w:szCs w:val="16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/ </w:t>
                  </w:r>
                </w:p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DICEMBRE 2012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Unione Professionisti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“Due Diligence Immobiliare”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di aggiornamento professionale </w:t>
                  </w:r>
                </w:p>
              </w:tc>
            </w:tr>
            <w:tr w:rsidR="00446413" w:rsidRPr="00446413" w:rsidTr="00446413">
              <w:trPr>
                <w:trHeight w:val="188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DA APRILE 2015 A MAGGIO 2015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Fondazione dell’ordine degli ingegneri della provincia di Milano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“Direzione Lavori – Professionalizzante”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di aggiornamento professionale </w:t>
                  </w:r>
                </w:p>
              </w:tc>
            </w:tr>
            <w:tr w:rsidR="00446413" w:rsidRPr="00446413" w:rsidTr="00446413">
              <w:trPr>
                <w:trHeight w:val="18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MARZO 2013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SUPSI – Scuola Universitaria Professionale della Svizzera italiana </w:t>
                  </w:r>
                </w:p>
              </w:tc>
            </w:tr>
            <w:tr w:rsidR="00446413" w:rsidRPr="00446413" w:rsidTr="00446413">
              <w:trPr>
                <w:trHeight w:val="168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La legge Edilizia Cantonale (LE) e le procedure di ricorso aspetti legali ed esperienze pratiche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di aggiornamento professionale </w:t>
                  </w:r>
                </w:p>
              </w:tc>
            </w:tr>
            <w:tr w:rsidR="00446413" w:rsidRPr="00446413" w:rsidTr="00446413">
              <w:trPr>
                <w:trHeight w:val="18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FEBBRAIO 2013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ICMQ – Istituto di certificazione e marchio qualità per prodotti e servizi per le costruzioni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Ruoli e responsabilità nell’accettazione dei materiali in cantiere ed in stabilimento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di aggiornamento professionale </w:t>
                  </w:r>
                </w:p>
              </w:tc>
            </w:tr>
            <w:tr w:rsidR="00446413" w:rsidRPr="00446413" w:rsidTr="00446413">
              <w:trPr>
                <w:trHeight w:val="18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</w:t>
                  </w: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 </w:t>
                  </w:r>
                  <w:r w:rsidR="00446413"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MARZO 2007 </w:t>
                  </w:r>
                </w:p>
              </w:tc>
            </w:tr>
            <w:tr w:rsidR="00446413" w:rsidRPr="00446413" w:rsidTr="00446413">
              <w:trPr>
                <w:trHeight w:val="18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CISEL – Centro Studi per Enti Locali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Attività contrattuale della P.A. alternativa all’evidenza pubblica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di aggiornamento professionale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168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lastRenderedPageBreak/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lastRenderedPageBreak/>
                    <w:t xml:space="preserve">FEBBRAIO 2004 </w:t>
                  </w:r>
                </w:p>
              </w:tc>
            </w:tr>
            <w:tr w:rsidR="00446413" w:rsidRPr="00446413" w:rsidTr="00446413">
              <w:trPr>
                <w:trHeight w:val="18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lastRenderedPageBreak/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Gestione dei contratti di appalto di opere pubbliche.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Fondazione dell’ordine degli ingegneri di Milano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di aggiornamento professionale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DA FEBBRAIO 2003 AD APRILE 2003 </w:t>
                  </w:r>
                </w:p>
              </w:tc>
            </w:tr>
            <w:tr w:rsidR="00446413" w:rsidRPr="00446413" w:rsidTr="00446413">
              <w:trPr>
                <w:trHeight w:val="18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ESEM – Scuola Edile Milanese (MI)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Recupero, restauro e manutenzione conservativa degli edifici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di aggiornamento professionale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DA APRILE 2002 A MAGGIO 2002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Abilitazione a ricoprire mansioni di Coordinatore per la progettazione ed esecuzione dei lavori nei cantieri temporanei e mobili (Direttiva 92/57/CEE – D.lgs 14/08/1996 n° 494 e smi)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Corso di aggiornamento professionale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>•</w:t>
                  </w: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 </w:t>
                  </w:r>
                  <w:r w:rsidR="00446413"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MARZO 2001 </w:t>
                  </w:r>
                </w:p>
              </w:tc>
            </w:tr>
            <w:tr w:rsidR="00446413" w:rsidRPr="00446413" w:rsidTr="00446413">
              <w:trPr>
                <w:trHeight w:val="168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Seconda Università di Napoli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Esame di stato per il conseguimento del titolo di abilitazione alla professione di Architetto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LUGLIO 2000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Università degli studi di Roma “La Sapienza”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Tesi di laurea in progettazione Urbanistica - “Progetto Urbanistico per il Comune Metropolitano di Acilia”. Relatore Prof. Arch. Gianluigi Nigro, voto 105 su 110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Laurea in Architettura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DA GENNAIO 1998 A LUGLIO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Università degli studi di Roma “La sapienza” </w:t>
                  </w:r>
                </w:p>
              </w:tc>
            </w:tr>
            <w:tr w:rsidR="00446413" w:rsidRPr="00446413" w:rsidTr="00446413">
              <w:trPr>
                <w:trHeight w:val="260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Facoltà di Architettura – Cattedra di Tecnica di Valutazione e Programmazione Urbanistica. Prof. M. Garano. - Seminari di studio e di approfondimento tematico : “La città moderna: metodi di analisi e valutazione economico – finanziari”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>•</w:t>
                  </w: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 </w:t>
                  </w:r>
                  <w:r w:rsidR="00446413"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DA NOVEMBRE 1996-1997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Università degli studi di Roma “La Sapienza” </w:t>
                  </w:r>
                </w:p>
              </w:tc>
            </w:tr>
            <w:tr w:rsidR="00446413" w:rsidRPr="00446413" w:rsidTr="00446413">
              <w:trPr>
                <w:trHeight w:val="371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Facoltà di Architettura – Cattedra di tecnica di Pianificazione e Gestione delle aree Metropolitane. Prof. Ing. U. De Martino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Seminari di studio e di approfondimento tematico: “Indagine sulle modalità funzionali nell’area metropolitana di Roma. Il terziario superiore e l’ industria d’alta tecnologia“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Qualifica conseguita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Livello nella classificazione nazionale (se pertinente)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/ </w:t>
                  </w:r>
                </w:p>
              </w:tc>
            </w:tr>
            <w:tr w:rsidR="00446413" w:rsidRPr="00446413" w:rsidTr="00446413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DA NOVEMBRE 1995-1996 </w:t>
                  </w:r>
                </w:p>
              </w:tc>
            </w:tr>
            <w:tr w:rsidR="00446413" w:rsidRPr="00446413" w:rsidTr="00446413">
              <w:trPr>
                <w:trHeight w:val="167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tipo di istituto di istruzione o formazione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Università degli studi di Roma “La Sapienza” </w:t>
                  </w:r>
                </w:p>
              </w:tc>
            </w:tr>
            <w:tr w:rsidR="00446413" w:rsidRPr="00446413" w:rsidTr="00446413">
              <w:trPr>
                <w:trHeight w:val="188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materie / abilità professionali oggetto dello studio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Facoltà di Architettura – Cattedra di progettazione Urbanistica. Prof. Arch. Camillo Nucci.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Seminari di studio e di approfondimento tematico: “ Il piano di area vasta: La città Tiburtina “ </w:t>
                  </w:r>
                </w:p>
              </w:tc>
            </w:tr>
          </w:tbl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582F4F" w:rsidRDefault="00582F4F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:rsidR="00582F4F" w:rsidRDefault="00582F4F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:rsidR="00582F4F" w:rsidRDefault="00582F4F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446413" w:rsidRPr="00446413" w:rsidRDefault="00446413" w:rsidP="004464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5"/>
              <w:gridCol w:w="8007"/>
            </w:tblGrid>
            <w:tr w:rsidR="00446413" w:rsidRP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>•</w:t>
                  </w: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 </w:t>
                  </w:r>
                  <w:r w:rsidR="00446413"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DA GIUGNO 2016 AD OGGI </w:t>
                  </w:r>
                </w:p>
              </w:tc>
            </w:tr>
            <w:tr w:rsidR="00446413" w:rsidRPr="00446413">
              <w:trPr>
                <w:trHeight w:val="188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indirizzo del datore di lavoro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SETIN STUDIO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16"/>
                      <w:szCs w:val="16"/>
                      <w:lang w:eastAsia="en-US" w:bidi="ar-SA"/>
                    </w:rPr>
                    <w:t xml:space="preserve">Viale Certosa, 26 - 20155 Milano (MI) </w:t>
                  </w:r>
                </w:p>
              </w:tc>
            </w:tr>
            <w:tr w:rsidR="00446413" w:rsidRP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azienda o settore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Studio Associato - Servizi tecnici integrati per l’architettura e l’ingegneria </w:t>
                  </w:r>
                </w:p>
              </w:tc>
            </w:tr>
            <w:tr w:rsidR="00446413" w:rsidRP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impiego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Libero professionista (Fondatore/Titolare) </w:t>
                  </w:r>
                </w:p>
              </w:tc>
            </w:tr>
            <w:tr w:rsidR="00446413" w:rsidRPr="00446413">
              <w:trPr>
                <w:trHeight w:val="1572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mansioni e responsabilità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Direttore Generale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Architetto, progettista e consulente tecnico nell’ambito di lavori sia pubblici che privati con esperienza pluriennale nella gestione di progetti complessi. Mi sono occupato direttamente di progettazione, esecuzione di opere e coordinamento di prestazioni specialistiche.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Svolgo attività professionali nei seguenti ambiti: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Progettazione urbanistica ed urbana;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Progettazione e Direzione Lavori opere edili/civili pubbliche e private;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Coordinamento per la sicurezza in fase di progettazione ed esecuzione;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Collaudo tecnico – amministrativo e funzionale;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Consulenza per la valorizzazione e la gestione del patrimonio immobiliare;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Due Diligence tecniche amministrative;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Consulenza in materia di energia rinnovabile ed efficienza energetica;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Validazione di progetto;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Controllo Tecnico per la verifica sulla corretta esecuzione tecnica delle opere;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</w:tbl>
          <w:p w:rsidR="00446413" w:rsidRPr="00446413" w:rsidRDefault="00446413" w:rsidP="004464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9"/>
              <w:gridCol w:w="5514"/>
            </w:tblGrid>
            <w:tr w:rsidR="00446413" w:rsidRP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>•</w:t>
                  </w:r>
                  <w:r w:rsidR="00446413" w:rsidRPr="00446413">
                    <w:rPr>
                      <w:rFonts w:ascii="Arial" w:eastAsiaTheme="minorHAnsi" w:hAnsi="Arial" w:cs="Arial"/>
                      <w:b/>
                      <w:color w:val="000000"/>
                      <w:sz w:val="24"/>
                      <w:szCs w:val="24"/>
                      <w:lang w:eastAsia="en-US" w:bidi="ar-SA"/>
                    </w:rPr>
                    <w:t xml:space="preserve"> </w:t>
                  </w:r>
                  <w:r w:rsidR="00446413"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date (da – a)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DA GENNAIO 2005 A DICEMBRE 2016 </w:t>
                  </w:r>
                </w:p>
              </w:tc>
            </w:tr>
            <w:tr w:rsidR="00446413" w:rsidRPr="00446413">
              <w:trPr>
                <w:trHeight w:val="186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indirizzo del datore di lavoro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INTERSTUDIO ENGINEERING SOLUTIONS - http://www.inter-studio.it/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16"/>
                      <w:szCs w:val="16"/>
                      <w:lang w:eastAsia="en-US" w:bidi="ar-SA"/>
                    </w:rPr>
                    <w:t xml:space="preserve">Via F.lli Casiraghi, 54 - 20099 Sesto San Giovanni (MI) </w:t>
                  </w:r>
                </w:p>
              </w:tc>
            </w:tr>
            <w:tr w:rsidR="00446413" w:rsidRP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azienda o settore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Studio Associato - Servizi tecnici integrati per l’architettura e l’ingegneria </w:t>
                  </w:r>
                </w:p>
              </w:tc>
            </w:tr>
            <w:tr w:rsidR="00446413" w:rsidRP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impiego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Libero professionista (Fondatore/Proprietario) </w:t>
                  </w:r>
                </w:p>
              </w:tc>
            </w:tr>
            <w:tr w:rsidR="00446413" w:rsidRPr="00446413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mansioni e responsabilità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Direttore tecnico e Responsabile Commerciale. </w:t>
                  </w:r>
                </w:p>
              </w:tc>
            </w:tr>
          </w:tbl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446413" w:rsidRPr="00446413" w:rsidRDefault="00446413" w:rsidP="00446413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 w:bidi="ar-SA"/>
              </w:rPr>
            </w:pPr>
          </w:p>
          <w:tbl>
            <w:tblPr>
              <w:tblW w:w="104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9"/>
              <w:gridCol w:w="6849"/>
              <w:gridCol w:w="472"/>
            </w:tblGrid>
            <w:tr w:rsidR="00446413" w:rsidRPr="00446413" w:rsidTr="00582F4F">
              <w:trPr>
                <w:trHeight w:val="75"/>
              </w:trPr>
              <w:tc>
                <w:tcPr>
                  <w:tcW w:w="2769" w:type="dxa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7553" w:type="dxa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DA GENNAIO 2008 AL 31 GENNAIO 2012 </w:t>
                  </w:r>
                </w:p>
              </w:tc>
            </w:tr>
            <w:tr w:rsidR="00446413" w:rsidRPr="00446413" w:rsidTr="00582F4F">
              <w:trPr>
                <w:trHeight w:val="188"/>
              </w:trPr>
              <w:tc>
                <w:tcPr>
                  <w:tcW w:w="2769" w:type="dxa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indirizzo del datore di lavoro </w:t>
                  </w:r>
                </w:p>
              </w:tc>
              <w:tc>
                <w:tcPr>
                  <w:tcW w:w="7553" w:type="dxa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GAIA SERVIZI S.r.l. - http://www.gaiaservizi.eu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16"/>
                      <w:szCs w:val="16"/>
                      <w:lang w:eastAsia="en-US" w:bidi="ar-SA"/>
                    </w:rPr>
                    <w:t xml:space="preserve">Piazzale Aldo Moro, 1 – 20021 Bollate (MI) </w:t>
                  </w:r>
                </w:p>
              </w:tc>
            </w:tr>
            <w:tr w:rsidR="00446413" w:rsidRPr="00446413" w:rsidTr="00582F4F">
              <w:trPr>
                <w:trHeight w:val="464"/>
              </w:trPr>
              <w:tc>
                <w:tcPr>
                  <w:tcW w:w="2769" w:type="dxa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azienda o settore </w:t>
                  </w:r>
                </w:p>
              </w:tc>
              <w:tc>
                <w:tcPr>
                  <w:tcW w:w="7553" w:type="dxa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Azienda (pubblica) multiservizi di gestione e manutenzione del patrimonio del Comune di Bollate, di proprietà esclusiva del Comune di Bollate (MI)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La società titolare dei servizi pubblici locali: Gestione Calore, Manutenzione Strade e illuminazione pubblica, Manutenzione del verde e dell’arredo urbano, Gestione Rifiuti e Manutenzione del patrimonio edilizio Comunale degli immobili di edilizia residenziale pubblica); </w:t>
                  </w:r>
                </w:p>
              </w:tc>
            </w:tr>
            <w:tr w:rsidR="00446413" w:rsidRPr="00446413" w:rsidTr="00582F4F">
              <w:trPr>
                <w:trHeight w:val="75"/>
              </w:trPr>
              <w:tc>
                <w:tcPr>
                  <w:tcW w:w="2769" w:type="dxa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impiego </w:t>
                  </w:r>
                </w:p>
              </w:tc>
              <w:tc>
                <w:tcPr>
                  <w:tcW w:w="7553" w:type="dxa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Contratto di collaborazione </w:t>
                  </w:r>
                </w:p>
              </w:tc>
            </w:tr>
            <w:tr w:rsidR="00446413" w:rsidRPr="00446413" w:rsidTr="00582F4F">
              <w:trPr>
                <w:trHeight w:val="391"/>
              </w:trPr>
              <w:tc>
                <w:tcPr>
                  <w:tcW w:w="2769" w:type="dxa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mansioni e responsabilità </w:t>
                  </w:r>
                </w:p>
              </w:tc>
              <w:tc>
                <w:tcPr>
                  <w:tcW w:w="7553" w:type="dxa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Direttore Tecnico Operativo;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Organizzazione, sviluppo e coordinamento tecnico operativo dell’ ufficio di progettazione e direzione lavori aziendale;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Programmazione e conduzione dei lavori di manutenzione del patrimonio immobiliare comunale; </w:t>
                  </w:r>
                </w:p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• Coordinamento tecnico per la progettazione e la direzione lavori del programma annuale di manutenzione delle strade comunali; </w:t>
                  </w:r>
                </w:p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• Coordinamento tecnico per lo start up del servizio di raccolta dei rifiuti solidi urbani </w:t>
                  </w:r>
                </w:p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• Coordinamento tecnico per la gestione del servizio invernale </w:t>
                  </w:r>
                </w:p>
                <w:p w:rsidR="00446413" w:rsidRDefault="00446413" w:rsidP="00446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• Redazione del piano di valorizzazione/dismissione del patrimonio immobiliare ERP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  <w:tr w:rsidR="00446413" w:rsidRPr="00446413" w:rsidTr="00582F4F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DA APRILE 2006 AL 31 GENNAIO 2010 </w:t>
                  </w:r>
                </w:p>
              </w:tc>
            </w:tr>
            <w:tr w:rsidR="00446413" w:rsidRPr="00446413" w:rsidTr="00582F4F">
              <w:trPr>
                <w:trHeight w:val="186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indirizzo del datore di lavoro </w:t>
                  </w:r>
                </w:p>
              </w:tc>
              <w:tc>
                <w:tcPr>
                  <w:tcW w:w="0" w:type="auto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GENIA S.p.A. - http://www.geniaspa.com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16"/>
                      <w:szCs w:val="16"/>
                      <w:lang w:eastAsia="en-US" w:bidi="ar-SA"/>
                    </w:rPr>
                    <w:t xml:space="preserve">Via Pace, 41 – 20098 San Giuliano Milanese (MI) </w:t>
                  </w:r>
                </w:p>
              </w:tc>
            </w:tr>
            <w:tr w:rsidR="00446413" w:rsidRPr="00446413" w:rsidTr="00582F4F">
              <w:trPr>
                <w:trHeight w:val="831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azienda o settore </w:t>
                  </w:r>
                </w:p>
              </w:tc>
              <w:tc>
                <w:tcPr>
                  <w:tcW w:w="0" w:type="auto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Azienda (pubblica) di proprietà del Comune di San Giuliano Milanese (MI), erogante Servizi Pubblici Locali ed affidataria della progettazione ed esecuzione del Programma Triennale Opere Pubbliche.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La società titolare dei servizi pubblici locali: Distribuzione Gas Metano, Distribuzione Acqua Potabile, Collettamento Acque Fognarie, Igiene Ambientale e Raccolta Rifiuti, Manutenzione ordinaria e straordinaria delle Strade e dei Marciapiedi, Manutenzione ordinaria e straordinaria del Patrimonio Immobiliare pubblico (Scuole, ERP, Impianti Sportivi, ecc.), Manutenzione ordinaria e straordinaria della Pubblica Illuminazione, Manutenzione ordinaria e straordinaria del Verde e dell’Arredo Urbano; </w:t>
                  </w:r>
                </w:p>
              </w:tc>
            </w:tr>
            <w:tr w:rsidR="00446413" w:rsidRPr="00446413" w:rsidTr="00582F4F">
              <w:trPr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impiego </w:t>
                  </w:r>
                </w:p>
              </w:tc>
              <w:tc>
                <w:tcPr>
                  <w:tcW w:w="0" w:type="auto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Contratto di collaborazione </w:t>
                  </w:r>
                </w:p>
              </w:tc>
            </w:tr>
            <w:tr w:rsidR="00446413" w:rsidRPr="00446413" w:rsidTr="00582F4F">
              <w:trPr>
                <w:trHeight w:val="911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</w:t>
                  </w: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Principali mansioni e responsabilità </w:t>
                  </w:r>
                </w:p>
              </w:tc>
              <w:tc>
                <w:tcPr>
                  <w:tcW w:w="0" w:type="auto"/>
                  <w:gridSpan w:val="2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Responsabile area tecnica – Progettazione e Direzione lavori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Gestione, organizzazione, sviluppo e coordinamento tecnico dell’ ufficio di Progettazione e Direzione Lavori;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Coordinamento tecnico peri il programma triennale LL.PP. dal 2006 al 2010;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Incarico diretto quale progettista e direttore lavori per l’attuazione dei programma triennale opere pubbliche commissionati dall’amministrazione comunale;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Incarico diretto quale progettista e direttore lavori per l’attuazione dei programma di investimento societario sui servizi di rete (acqua, fognature e gas etc…. );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Incarico diretto per il coordinamento sicurezza dei cantieri dal 2006 al 2010;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  <w:tr w:rsidR="00446413" w:rsidRPr="00446413" w:rsidTr="00582F4F">
              <w:trPr>
                <w:gridAfter w:val="1"/>
                <w:wAfter w:w="4955" w:type="dxa"/>
                <w:trHeight w:val="75"/>
              </w:trPr>
              <w:tc>
                <w:tcPr>
                  <w:tcW w:w="0" w:type="auto"/>
                </w:tcPr>
                <w:p w:rsidR="00582F4F" w:rsidRDefault="00582F4F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lastRenderedPageBreak/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654B08" w:rsidRDefault="00654B08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bookmarkStart w:id="0" w:name="_GoBack"/>
                  <w:bookmarkEnd w:id="0"/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lastRenderedPageBreak/>
                    <w:t xml:space="preserve">DA OTTOBRE 2002 AL 31 DICEMBRE 2011 </w:t>
                  </w:r>
                </w:p>
              </w:tc>
            </w:tr>
            <w:tr w:rsidR="00446413" w:rsidRPr="00446413" w:rsidTr="00582F4F">
              <w:trPr>
                <w:gridAfter w:val="1"/>
                <w:wAfter w:w="4955" w:type="dxa"/>
                <w:trHeight w:val="192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lastRenderedPageBreak/>
                    <w:t xml:space="preserve">• Nome e indirizzo del datore di lavoro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OPTIMA CONSULTING S.r.l – Milano - http://www.optimaconsulting.it/ </w:t>
                  </w:r>
                </w:p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7"/>
                      <w:szCs w:val="17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i/>
                      <w:iCs/>
                      <w:color w:val="000000"/>
                      <w:sz w:val="17"/>
                      <w:szCs w:val="17"/>
                      <w:lang w:eastAsia="en-US" w:bidi="ar-SA"/>
                    </w:rPr>
                    <w:t xml:space="preserve">Palazzo Centro Congressi Milanofiori, Strada 1 · 20090 Assago (MI) </w:t>
                  </w:r>
                </w:p>
              </w:tc>
            </w:tr>
            <w:tr w:rsidR="00446413" w:rsidRPr="00446413" w:rsidTr="00582F4F">
              <w:trPr>
                <w:gridAfter w:val="1"/>
                <w:wAfter w:w="4955" w:type="dxa"/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</w:t>
                  </w: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Tipo di azienda o settore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Servizi di ingegneria </w:t>
                  </w:r>
                </w:p>
              </w:tc>
            </w:tr>
            <w:tr w:rsidR="00446413" w:rsidRPr="00446413" w:rsidTr="00582F4F">
              <w:trPr>
                <w:gridAfter w:val="1"/>
                <w:wAfter w:w="4955" w:type="dxa"/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impiego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Contratto di collaborazione - Consulente </w:t>
                  </w:r>
                </w:p>
              </w:tc>
            </w:tr>
            <w:tr w:rsidR="00446413" w:rsidRPr="00446413" w:rsidTr="00582F4F">
              <w:trPr>
                <w:gridAfter w:val="1"/>
                <w:wAfter w:w="4955" w:type="dxa"/>
                <w:trHeight w:val="75"/>
              </w:trPr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mansioni e responsabilità </w:t>
                  </w:r>
                </w:p>
              </w:tc>
              <w:tc>
                <w:tcPr>
                  <w:tcW w:w="0" w:type="auto"/>
                </w:tcPr>
                <w:p w:rsidR="00446413" w:rsidRPr="00446413" w:rsidRDefault="00446413" w:rsidP="00446413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446413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Progettista, Direttore Lavori e attività di coordinamento per la sicurezza dei lavori </w:t>
                  </w:r>
                </w:p>
              </w:tc>
            </w:tr>
            <w:tr w:rsidR="00582F4F" w:rsidRPr="00582F4F" w:rsidTr="00582F4F">
              <w:trPr>
                <w:gridAfter w:val="1"/>
                <w:wAfter w:w="216" w:type="dxa"/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</w:pPr>
                </w:p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DA MAGGIO 2001 A GIUGNO 2002 </w:t>
                  </w:r>
                </w:p>
              </w:tc>
            </w:tr>
            <w:tr w:rsidR="00582F4F" w:rsidRPr="00582F4F" w:rsidTr="00582F4F">
              <w:trPr>
                <w:gridAfter w:val="1"/>
                <w:wAfter w:w="216" w:type="dxa"/>
                <w:trHeight w:val="187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indirizzo del datore di lavoro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ARCOS S.r.l. </w:t>
                  </w:r>
                </w:p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Via dei Quattro Venti 48 – 00159 Roma </w:t>
                  </w:r>
                </w:p>
              </w:tc>
            </w:tr>
            <w:tr w:rsidR="00582F4F" w:rsidRPr="00582F4F" w:rsidTr="00582F4F">
              <w:trPr>
                <w:gridAfter w:val="1"/>
                <w:wAfter w:w="216" w:type="dxa"/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azienda o settore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Società di Ingegneria </w:t>
                  </w:r>
                </w:p>
              </w:tc>
            </w:tr>
            <w:tr w:rsidR="00582F4F" w:rsidRPr="00582F4F" w:rsidTr="00582F4F">
              <w:trPr>
                <w:gridAfter w:val="1"/>
                <w:wAfter w:w="216" w:type="dxa"/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impiego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Consulente </w:t>
                  </w:r>
                </w:p>
              </w:tc>
            </w:tr>
            <w:tr w:rsidR="00582F4F" w:rsidRPr="00582F4F" w:rsidTr="00582F4F">
              <w:trPr>
                <w:gridAfter w:val="1"/>
                <w:wAfter w:w="216" w:type="dxa"/>
                <w:trHeight w:val="260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mansioni e responsabilità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Incarico alla redazione e verifica contabile dei lavori di Ammodernamento dell’Ospedale S. Giovanni Addolorata di Roma, lavori subappaltati dalla impresa Italiana Costruzioni s.p.a. con sede in Roma </w:t>
                  </w:r>
                </w:p>
              </w:tc>
            </w:tr>
          </w:tbl>
          <w:p w:rsidR="00446413" w:rsidRDefault="00446413" w:rsidP="00446413">
            <w:pPr>
              <w:pStyle w:val="Default"/>
              <w:jc w:val="both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3"/>
              <w:gridCol w:w="7469"/>
            </w:tblGrid>
            <w:tr w:rsidR="00582F4F" w:rsidRPr="00582F4F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DA GENNAIO 2001 AD APRILE 2001 </w:t>
                  </w:r>
                </w:p>
              </w:tc>
            </w:tr>
            <w:tr w:rsidR="00582F4F" w:rsidRPr="00582F4F">
              <w:trPr>
                <w:trHeight w:val="187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</w:t>
                  </w: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Nome e indirizzo del datore di lavoro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STUDIO DI ARCHITETTURA dell’arch. G. LUZZI </w:t>
                  </w:r>
                </w:p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Via G. Zingone 80 – 00156 Roma </w:t>
                  </w:r>
                </w:p>
              </w:tc>
            </w:tr>
            <w:tr w:rsidR="00582F4F" w:rsidRPr="00582F4F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azienda o settore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Studio Professionale </w:t>
                  </w:r>
                </w:p>
              </w:tc>
            </w:tr>
            <w:tr w:rsidR="00582F4F" w:rsidRPr="00582F4F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impiego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Consulente </w:t>
                  </w:r>
                </w:p>
              </w:tc>
            </w:tr>
            <w:tr w:rsidR="00582F4F" w:rsidRPr="00582F4F">
              <w:trPr>
                <w:trHeight w:val="167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mansioni e responsabilità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Architetto e Disegnatore per la redazione di progetti esecutivi di restauro, recupero e nuova realizzazione di edilizia prevalentemente residenziale </w:t>
                  </w:r>
                </w:p>
              </w:tc>
            </w:tr>
          </w:tbl>
          <w:p w:rsid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7"/>
              <w:gridCol w:w="6945"/>
            </w:tblGrid>
            <w:tr w:rsidR="00582F4F" w:rsidRPr="00582F4F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Date (da – a)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DA SETTEMBRE 2000 A DICEMBRE 2000 </w:t>
                  </w:r>
                </w:p>
              </w:tc>
            </w:tr>
            <w:tr w:rsidR="00582F4F" w:rsidRPr="00582F4F">
              <w:trPr>
                <w:trHeight w:val="187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Nome e indirizzo del datore di lavoro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ECOTECH S.a.s. </w:t>
                  </w:r>
                </w:p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 w:bidi="ar-SA"/>
                    </w:rPr>
                    <w:t xml:space="preserve">Via del Pigneto 5e – 00176 Roma </w:t>
                  </w:r>
                </w:p>
              </w:tc>
            </w:tr>
            <w:tr w:rsidR="00582F4F" w:rsidRPr="00582F4F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azienda o settore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Azienda per l’Ambiente, Sicurezza e Impianti </w:t>
                  </w:r>
                </w:p>
              </w:tc>
            </w:tr>
            <w:tr w:rsidR="00582F4F" w:rsidRPr="00582F4F">
              <w:trPr>
                <w:trHeight w:val="75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Tipo di impiego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Consulente </w:t>
                  </w:r>
                </w:p>
              </w:tc>
            </w:tr>
            <w:tr w:rsidR="00582F4F" w:rsidRPr="00582F4F">
              <w:trPr>
                <w:trHeight w:val="167"/>
              </w:trPr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b/>
                      <w:color w:val="000000"/>
                      <w:sz w:val="16"/>
                      <w:szCs w:val="16"/>
                      <w:lang w:eastAsia="en-US" w:bidi="ar-SA"/>
                    </w:rPr>
                    <w:t xml:space="preserve">• Principali mansioni e responsabilità </w:t>
                  </w:r>
                </w:p>
              </w:tc>
              <w:tc>
                <w:tcPr>
                  <w:tcW w:w="0" w:type="auto"/>
                </w:tcPr>
                <w:p w:rsidR="00582F4F" w:rsidRPr="00582F4F" w:rsidRDefault="00582F4F" w:rsidP="00582F4F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</w:pPr>
                  <w:r w:rsidRPr="00582F4F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 w:bidi="ar-SA"/>
                    </w:rPr>
                    <w:t xml:space="preserve">Architetto e Disegnatore per la redazione di progetti per l’eliminazione delle barriere architettoniche </w:t>
                  </w:r>
                </w:p>
              </w:tc>
            </w:tr>
          </w:tbl>
          <w:p w:rsidR="00582F4F" w:rsidRPr="00EC78AC" w:rsidRDefault="00582F4F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582F4F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Data: 05/08/2020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Silvano Carone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1F" w:rsidRDefault="00501D1F">
      <w:r>
        <w:separator/>
      </w:r>
    </w:p>
  </w:endnote>
  <w:endnote w:type="continuationSeparator" w:id="0">
    <w:p w:rsidR="00501D1F" w:rsidRDefault="0050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1F" w:rsidRDefault="00501D1F">
      <w:r>
        <w:separator/>
      </w:r>
    </w:p>
  </w:footnote>
  <w:footnote w:type="continuationSeparator" w:id="0">
    <w:p w:rsidR="00501D1F" w:rsidRDefault="0050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46413"/>
    <w:rsid w:val="00501D1F"/>
    <w:rsid w:val="00527A45"/>
    <w:rsid w:val="005512A1"/>
    <w:rsid w:val="00582F4F"/>
    <w:rsid w:val="005D3709"/>
    <w:rsid w:val="006112F6"/>
    <w:rsid w:val="00654B08"/>
    <w:rsid w:val="006E0B3C"/>
    <w:rsid w:val="00783A9C"/>
    <w:rsid w:val="007931A6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ACA4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446413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972E-965E-4A52-ADFD-0549096E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VALOTTA Ilaria</cp:lastModifiedBy>
  <cp:revision>9</cp:revision>
  <dcterms:created xsi:type="dcterms:W3CDTF">2020-07-16T15:55:00Z</dcterms:created>
  <dcterms:modified xsi:type="dcterms:W3CDTF">2020-08-25T10:43:00Z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